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7146" w:rsidRDefault="00A87146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519EA" w:rsidRPr="00D37BDF" w:rsidRDefault="00A519EA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D37BDF">
        <w:rPr>
          <w:b/>
        </w:rPr>
        <w:t>О внесении изменений в Постановление Правительства Свердловской области от 9 марта 2010 г. № 361-ПП</w:t>
      </w:r>
      <w:r w:rsidRPr="00D37BDF">
        <w:rPr>
          <w:rFonts w:cs="Times New Roman"/>
          <w:b/>
          <w:bCs/>
          <w:szCs w:val="28"/>
        </w:rPr>
        <w:t xml:space="preserve"> «О размере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значения Свердловской Области»</w:t>
      </w:r>
    </w:p>
    <w:p w:rsidR="00A519EA" w:rsidRDefault="00A519EA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:rsidR="00FB1ED9" w:rsidRDefault="00FB1ED9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:rsidR="00A519EA" w:rsidRDefault="00A519EA" w:rsidP="00FB1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bCs/>
          <w:szCs w:val="28"/>
        </w:rPr>
        <w:t xml:space="preserve">В соответствии с постановлением </w:t>
      </w:r>
      <w:r w:rsidRPr="00A519EA">
        <w:t>Правительства</w:t>
      </w:r>
      <w:r>
        <w:t xml:space="preserve"> Российской Федерации </w:t>
      </w:r>
      <w:r w:rsidR="00737CDC">
        <w:t xml:space="preserve">  </w:t>
      </w:r>
      <w:r>
        <w:t>от 09.01.2014г. № 12 «</w:t>
      </w:r>
      <w:r w:rsidRPr="00A519EA">
        <w:t xml:space="preserve">О внесении изменений в некоторые акты Правительства Российской Федерации по вопросам перевозки тяжеловесных грузов </w:t>
      </w:r>
      <w:r w:rsidR="00737CDC">
        <w:t xml:space="preserve">                   </w:t>
      </w:r>
      <w:r w:rsidRPr="00A519EA">
        <w:t>по автомобильным дорогам Российской Федерации</w:t>
      </w:r>
      <w:r>
        <w:t>», статьёй 101 Областного закона от 10 марта 1999 года</w:t>
      </w:r>
      <w:r w:rsidR="00D37BDF">
        <w:t xml:space="preserve"> №</w:t>
      </w:r>
      <w:r>
        <w:t xml:space="preserve"> 4-ОЗ «О правовых актах в Свердловской области» Правительств</w:t>
      </w:r>
      <w:r w:rsidR="006632BA">
        <w:t>о</w:t>
      </w:r>
      <w:r>
        <w:t xml:space="preserve"> Свердловской области </w:t>
      </w:r>
    </w:p>
    <w:p w:rsidR="00A519EA" w:rsidRDefault="00A519EA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19EA">
        <w:rPr>
          <w:b/>
        </w:rPr>
        <w:t>ПОСТАНОВЛЯЕТ:</w:t>
      </w:r>
    </w:p>
    <w:p w:rsidR="00A519EA" w:rsidRDefault="00A519EA" w:rsidP="007C10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Внести в </w:t>
      </w:r>
      <w:r w:rsidRPr="00A519EA">
        <w:t xml:space="preserve">Постановление Правительства Свердловской </w:t>
      </w:r>
      <w:r>
        <w:t>о</w:t>
      </w:r>
      <w:r w:rsidRPr="00A519EA">
        <w:t xml:space="preserve">бласти </w:t>
      </w:r>
      <w:r w:rsidR="00737CDC">
        <w:t xml:space="preserve">                        </w:t>
      </w:r>
      <w:r w:rsidRPr="00A519EA">
        <w:t>от 9 марта 2010 г. № 361-ПП</w:t>
      </w:r>
      <w:r w:rsidRPr="00A519EA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«</w:t>
      </w:r>
      <w:r w:rsidRPr="00A519EA">
        <w:rPr>
          <w:rFonts w:cs="Times New Roman"/>
          <w:bCs/>
          <w:szCs w:val="28"/>
        </w:rPr>
        <w:t xml:space="preserve">О размере вреда, причиняемого транспортными </w:t>
      </w:r>
      <w:r>
        <w:rPr>
          <w:rFonts w:cs="Times New Roman"/>
          <w:bCs/>
          <w:szCs w:val="28"/>
        </w:rPr>
        <w:t>с</w:t>
      </w:r>
      <w:r w:rsidRPr="00A519EA">
        <w:rPr>
          <w:rFonts w:cs="Times New Roman"/>
          <w:bCs/>
          <w:szCs w:val="28"/>
        </w:rPr>
        <w:t>редствами,</w:t>
      </w:r>
      <w:r>
        <w:rPr>
          <w:rFonts w:cs="Times New Roman"/>
          <w:bCs/>
          <w:szCs w:val="28"/>
        </w:rPr>
        <w:t xml:space="preserve"> </w:t>
      </w:r>
      <w:r w:rsidRPr="00A519EA">
        <w:rPr>
          <w:rFonts w:cs="Times New Roman"/>
          <w:bCs/>
          <w:szCs w:val="28"/>
        </w:rPr>
        <w:t>осуществляющими перевозки тяжеловесных грузов</w:t>
      </w:r>
      <w:r>
        <w:rPr>
          <w:rFonts w:cs="Times New Roman"/>
          <w:bCs/>
          <w:szCs w:val="28"/>
        </w:rPr>
        <w:t xml:space="preserve"> </w:t>
      </w:r>
      <w:r w:rsidR="00737CDC">
        <w:rPr>
          <w:rFonts w:cs="Times New Roman"/>
          <w:bCs/>
          <w:szCs w:val="28"/>
        </w:rPr>
        <w:t xml:space="preserve">                           </w:t>
      </w:r>
      <w:r w:rsidRPr="00A519EA">
        <w:rPr>
          <w:rFonts w:cs="Times New Roman"/>
          <w:bCs/>
          <w:szCs w:val="28"/>
        </w:rPr>
        <w:t>по автомобильным дорогам общего пользования</w:t>
      </w:r>
      <w:r>
        <w:rPr>
          <w:rFonts w:cs="Times New Roman"/>
          <w:bCs/>
          <w:szCs w:val="28"/>
        </w:rPr>
        <w:t xml:space="preserve"> </w:t>
      </w:r>
      <w:r w:rsidRPr="00A519EA">
        <w:rPr>
          <w:rFonts w:cs="Times New Roman"/>
          <w:bCs/>
          <w:szCs w:val="28"/>
        </w:rPr>
        <w:t xml:space="preserve">регионального значения Свердловской </w:t>
      </w:r>
      <w:r w:rsidR="006632BA">
        <w:rPr>
          <w:rFonts w:cs="Times New Roman"/>
          <w:bCs/>
          <w:szCs w:val="28"/>
        </w:rPr>
        <w:t>о</w:t>
      </w:r>
      <w:r w:rsidRPr="00A519EA">
        <w:rPr>
          <w:rFonts w:cs="Times New Roman"/>
          <w:bCs/>
          <w:szCs w:val="28"/>
        </w:rPr>
        <w:t>бласти</w:t>
      </w:r>
      <w:r>
        <w:rPr>
          <w:rFonts w:cs="Times New Roman"/>
          <w:bCs/>
          <w:szCs w:val="28"/>
        </w:rPr>
        <w:t>» («Областная газета», 2010, 17 марта, № 81-82)</w:t>
      </w:r>
      <w:r w:rsidR="007C107C">
        <w:rPr>
          <w:rFonts w:cs="Times New Roman"/>
          <w:bCs/>
          <w:szCs w:val="28"/>
        </w:rPr>
        <w:t xml:space="preserve"> </w:t>
      </w:r>
      <w:r w:rsidR="00737CDC">
        <w:rPr>
          <w:rFonts w:cs="Times New Roman"/>
          <w:bCs/>
          <w:szCs w:val="28"/>
        </w:rPr>
        <w:t xml:space="preserve">                         </w:t>
      </w:r>
      <w:r w:rsidR="007C107C">
        <w:rPr>
          <w:rFonts w:cs="Times New Roman"/>
          <w:bCs/>
          <w:szCs w:val="28"/>
        </w:rPr>
        <w:t xml:space="preserve">с изменениями, внесёнными постановлением Правительства Свердловской области от 21.02.2013 № 209-ПП, </w:t>
      </w:r>
      <w:r>
        <w:rPr>
          <w:rFonts w:cs="Times New Roman"/>
          <w:bCs/>
          <w:szCs w:val="28"/>
        </w:rPr>
        <w:t>следующие изменения:</w:t>
      </w:r>
    </w:p>
    <w:p w:rsidR="00A519EA" w:rsidRDefault="00A519EA" w:rsidP="00A5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:rsidR="006632BA" w:rsidRDefault="006632BA" w:rsidP="001F27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пункт 1 изложить в следующей редакции:</w:t>
      </w:r>
    </w:p>
    <w:p w:rsidR="006632BA" w:rsidRDefault="006632BA" w:rsidP="00671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 Утвердить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регионального  значения Свердловской области</w:t>
      </w:r>
      <w:proofErr w:type="gramStart"/>
      <w:r>
        <w:rPr>
          <w:rFonts w:cs="Times New Roman"/>
          <w:szCs w:val="28"/>
        </w:rPr>
        <w:t>.»</w:t>
      </w:r>
      <w:r w:rsidR="00A54CAD">
        <w:rPr>
          <w:rFonts w:cs="Times New Roman"/>
          <w:szCs w:val="28"/>
        </w:rPr>
        <w:t>;</w:t>
      </w:r>
      <w:proofErr w:type="gramEnd"/>
    </w:p>
    <w:p w:rsidR="00A54CAD" w:rsidRDefault="00A54CAD" w:rsidP="001F27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8"/>
        </w:rPr>
      </w:pPr>
      <w:r w:rsidRPr="00A54CAD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3</w:t>
      </w:r>
      <w:r w:rsidRPr="00A54CAD">
        <w:rPr>
          <w:rFonts w:cs="Times New Roman"/>
          <w:szCs w:val="28"/>
        </w:rPr>
        <w:t xml:space="preserve"> изложить в следующей редакции:</w:t>
      </w:r>
    </w:p>
    <w:p w:rsidR="00A54CAD" w:rsidRPr="00A54CAD" w:rsidRDefault="00A54CAD" w:rsidP="00671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возложить </w:t>
      </w:r>
      <w:r w:rsidR="00737CDC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>на министра транспорта и связи Свердловской области, члена Правительства Свердловской области Сидоренко А.М.»;</w:t>
      </w:r>
    </w:p>
    <w:p w:rsidR="008618D6" w:rsidRPr="001536CD" w:rsidRDefault="00F76C92" w:rsidP="001F27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618D6" w:rsidRPr="001536CD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е</w:t>
      </w:r>
      <w:r w:rsidR="008618D6" w:rsidRPr="001536CD">
        <w:rPr>
          <w:rFonts w:cs="Times New Roman"/>
          <w:szCs w:val="28"/>
        </w:rPr>
        <w:t xml:space="preserve"> изложить в следующей редакции:</w:t>
      </w:r>
    </w:p>
    <w:p w:rsidR="008618D6" w:rsidRPr="00671EEF" w:rsidRDefault="008618D6" w:rsidP="00671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71EEF">
        <w:rPr>
          <w:rFonts w:cs="Times New Roman"/>
          <w:szCs w:val="28"/>
        </w:rPr>
        <w:t xml:space="preserve">«ПОКАЗАТЕЛИ РАЗМЕРА ВРЕДА, ПРИЧИНЯЕМОГО ТРАНСПОРТНЫМИ СРЕДСТВАМИ, ОСУЩЕСТВЛЯЮЩИМИ ПЕРЕВОЗКИ </w:t>
      </w:r>
      <w:r w:rsidRPr="00671EEF">
        <w:rPr>
          <w:rFonts w:cs="Times New Roman"/>
          <w:szCs w:val="28"/>
        </w:rPr>
        <w:lastRenderedPageBreak/>
        <w:t>ТЯЖЕЛОВЕСНЫХ ГРУЗОВ, ПРИ ДВИЖЕНИИ ТАКИХ ТРАНСПОРТНЫХ СРЕДСТВ</w:t>
      </w:r>
      <w:r w:rsidR="00A54CAD" w:rsidRPr="00671EEF">
        <w:rPr>
          <w:rFonts w:cs="Times New Roman"/>
          <w:szCs w:val="28"/>
        </w:rPr>
        <w:t xml:space="preserve"> </w:t>
      </w:r>
      <w:r w:rsidRPr="00671EEF">
        <w:rPr>
          <w:rFonts w:cs="Times New Roman"/>
          <w:szCs w:val="28"/>
        </w:rPr>
        <w:t xml:space="preserve">ПО АВТОМОБИЛЬНЫМ ДОРОГАМ </w:t>
      </w:r>
      <w:r w:rsidRPr="00671EEF">
        <w:rPr>
          <w:rFonts w:cs="Times New Roman"/>
          <w:bCs/>
          <w:szCs w:val="28"/>
        </w:rPr>
        <w:t>ОБЩЕГО ПОЛЬЗОВАНИЯ РЕГИОНАЛЬНОГО ЗНАЧЕНИЯ СВЕРДЛОВСКОЙ ОБЛАСТИ</w:t>
      </w:r>
    </w:p>
    <w:p w:rsidR="00F76C92" w:rsidRDefault="00F76C92" w:rsidP="00C872AE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872AE" w:rsidRDefault="00C872AE" w:rsidP="00C872AE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p w:rsidR="00671EEF" w:rsidRDefault="00671EEF" w:rsidP="00C872A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F27A0" w:rsidRPr="00671EEF" w:rsidRDefault="001F27A0" w:rsidP="001F27A0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1EEF">
        <w:rPr>
          <w:rFonts w:cs="Times New Roman"/>
          <w:szCs w:val="28"/>
        </w:rPr>
        <w:t>Размер</w:t>
      </w:r>
    </w:p>
    <w:p w:rsidR="001F27A0" w:rsidRPr="00671EEF" w:rsidRDefault="001F27A0" w:rsidP="001F27A0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1EEF">
        <w:rPr>
          <w:rFonts w:cs="Times New Roman"/>
          <w:szCs w:val="28"/>
        </w:rPr>
        <w:t xml:space="preserve"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</w:t>
      </w:r>
      <w:r w:rsidR="006632BA" w:rsidRPr="00671EEF">
        <w:rPr>
          <w:rFonts w:cs="Times New Roman"/>
          <w:szCs w:val="28"/>
        </w:rPr>
        <w:t xml:space="preserve">общего пользования регионального  значения Свердловской области </w:t>
      </w:r>
      <w:r w:rsidRPr="00671EEF">
        <w:rPr>
          <w:rFonts w:cs="Times New Roman"/>
          <w:szCs w:val="28"/>
        </w:rPr>
        <w:t>вследствие превышения допустимой массы транспортного средства</w:t>
      </w:r>
    </w:p>
    <w:p w:rsidR="001F27A0" w:rsidRDefault="001F27A0" w:rsidP="001F27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</w:pPr>
    </w:p>
    <w:p w:rsidR="00C872AE" w:rsidRDefault="00C872AE" w:rsidP="00C872AE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49"/>
        <w:gridCol w:w="4627"/>
      </w:tblGrid>
      <w:tr w:rsidR="001F27A0" w:rsidTr="007831D0">
        <w:tc>
          <w:tcPr>
            <w:tcW w:w="4649" w:type="dxa"/>
            <w:vAlign w:val="center"/>
          </w:tcPr>
          <w:p w:rsidR="001F27A0" w:rsidRDefault="001F27A0" w:rsidP="007831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 w:rsidRPr="001F27A0">
              <w:t>Превышение допустимой массы (процентов)</w:t>
            </w:r>
          </w:p>
        </w:tc>
        <w:tc>
          <w:tcPr>
            <w:tcW w:w="4627" w:type="dxa"/>
            <w:vAlign w:val="center"/>
          </w:tcPr>
          <w:p w:rsidR="001F27A0" w:rsidRPr="00A54CAD" w:rsidRDefault="001F27A0" w:rsidP="007831D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54CAD">
              <w:rPr>
                <w:rFonts w:cs="Times New Roman"/>
                <w:szCs w:val="28"/>
              </w:rPr>
              <w:t>Рублей на 100 км</w:t>
            </w:r>
          </w:p>
        </w:tc>
      </w:tr>
      <w:tr w:rsidR="00666E10" w:rsidTr="007831D0">
        <w:tc>
          <w:tcPr>
            <w:tcW w:w="4649" w:type="dxa"/>
          </w:tcPr>
          <w:p w:rsidR="00666E10" w:rsidRPr="001F27A0" w:rsidRDefault="00666E10" w:rsidP="007831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4627" w:type="dxa"/>
          </w:tcPr>
          <w:p w:rsidR="00666E10" w:rsidRPr="00A54CAD" w:rsidRDefault="00666E10" w:rsidP="006258B5">
            <w:pPr>
              <w:jc w:val="center"/>
            </w:pPr>
            <w:r w:rsidRPr="00A54CAD">
              <w:t>3083,9</w:t>
            </w:r>
            <w:r w:rsidR="006258B5" w:rsidRPr="00A54CAD">
              <w:t>4</w:t>
            </w:r>
          </w:p>
        </w:tc>
      </w:tr>
      <w:tr w:rsidR="00666E10" w:rsidTr="007831D0">
        <w:tc>
          <w:tcPr>
            <w:tcW w:w="4649" w:type="dxa"/>
          </w:tcPr>
          <w:p w:rsidR="00666E10" w:rsidRPr="001F27A0" w:rsidRDefault="00666E10" w:rsidP="007831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4627" w:type="dxa"/>
          </w:tcPr>
          <w:p w:rsidR="00666E10" w:rsidRPr="00A54CAD" w:rsidRDefault="00666E10" w:rsidP="00666E10">
            <w:pPr>
              <w:jc w:val="center"/>
            </w:pPr>
            <w:r w:rsidRPr="00A54CAD">
              <w:t>3526,83</w:t>
            </w:r>
          </w:p>
        </w:tc>
      </w:tr>
      <w:tr w:rsidR="00666E10" w:rsidTr="007831D0">
        <w:tc>
          <w:tcPr>
            <w:tcW w:w="4649" w:type="dxa"/>
          </w:tcPr>
          <w:p w:rsidR="00666E10" w:rsidRPr="001F27A0" w:rsidRDefault="00666E10" w:rsidP="007831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627" w:type="dxa"/>
          </w:tcPr>
          <w:p w:rsidR="00666E10" w:rsidRPr="00A54CAD" w:rsidRDefault="00666E10" w:rsidP="006258B5">
            <w:pPr>
              <w:jc w:val="center"/>
            </w:pPr>
            <w:r w:rsidRPr="00A54CAD">
              <w:t>3969,</w:t>
            </w:r>
            <w:r w:rsidR="006258B5" w:rsidRPr="00A54CAD">
              <w:t>20</w:t>
            </w:r>
          </w:p>
        </w:tc>
      </w:tr>
      <w:tr w:rsidR="00666E10" w:rsidTr="007831D0">
        <w:tc>
          <w:tcPr>
            <w:tcW w:w="4649" w:type="dxa"/>
          </w:tcPr>
          <w:p w:rsidR="00666E10" w:rsidRPr="001F27A0" w:rsidRDefault="00666E10" w:rsidP="007831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4627" w:type="dxa"/>
          </w:tcPr>
          <w:p w:rsidR="00666E10" w:rsidRPr="00A54CAD" w:rsidRDefault="00666E10" w:rsidP="006258B5">
            <w:pPr>
              <w:jc w:val="center"/>
            </w:pPr>
            <w:r w:rsidRPr="00A54CAD">
              <w:t>4412,0</w:t>
            </w:r>
            <w:r w:rsidR="006258B5" w:rsidRPr="00A54CAD">
              <w:t>9</w:t>
            </w:r>
          </w:p>
        </w:tc>
      </w:tr>
      <w:tr w:rsidR="00666E10" w:rsidTr="007831D0">
        <w:tc>
          <w:tcPr>
            <w:tcW w:w="4649" w:type="dxa"/>
          </w:tcPr>
          <w:p w:rsidR="00666E10" w:rsidRPr="001F27A0" w:rsidRDefault="00666E10" w:rsidP="007831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627" w:type="dxa"/>
          </w:tcPr>
          <w:p w:rsidR="00666E10" w:rsidRPr="00A54CAD" w:rsidRDefault="00666E10" w:rsidP="006258B5">
            <w:pPr>
              <w:jc w:val="center"/>
            </w:pPr>
            <w:r w:rsidRPr="00A54CAD">
              <w:t>4854,45</w:t>
            </w:r>
          </w:p>
        </w:tc>
      </w:tr>
      <w:tr w:rsidR="00666E10" w:rsidTr="007831D0">
        <w:tc>
          <w:tcPr>
            <w:tcW w:w="4649" w:type="dxa"/>
          </w:tcPr>
          <w:p w:rsidR="00666E10" w:rsidRPr="001F27A0" w:rsidRDefault="00666E10" w:rsidP="007831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4627" w:type="dxa"/>
          </w:tcPr>
          <w:p w:rsidR="00666E10" w:rsidRPr="00A54CAD" w:rsidRDefault="00666E10" w:rsidP="00666E10">
            <w:pPr>
              <w:jc w:val="center"/>
            </w:pPr>
            <w:r w:rsidRPr="00A54CAD">
              <w:t>5296,82</w:t>
            </w:r>
          </w:p>
        </w:tc>
      </w:tr>
      <w:tr w:rsidR="001F27A0" w:rsidTr="007831D0">
        <w:tc>
          <w:tcPr>
            <w:tcW w:w="4649" w:type="dxa"/>
          </w:tcPr>
          <w:p w:rsidR="001F27A0" w:rsidRPr="001F27A0" w:rsidRDefault="001F27A0" w:rsidP="007831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4627" w:type="dxa"/>
          </w:tcPr>
          <w:p w:rsidR="005B0ACC" w:rsidRPr="00A54CAD" w:rsidRDefault="005B0ACC" w:rsidP="005B0ACC">
            <w:pPr>
              <w:pStyle w:val="a3"/>
              <w:widowControl w:val="0"/>
              <w:autoSpaceDE w:val="0"/>
              <w:autoSpaceDN w:val="0"/>
              <w:adjustRightInd w:val="0"/>
              <w:ind w:left="-124"/>
              <w:jc w:val="right"/>
              <w:rPr>
                <w:rFonts w:cs="Times New Roman"/>
                <w:szCs w:val="28"/>
              </w:rPr>
            </w:pPr>
            <w:proofErr w:type="gramStart"/>
            <w:r w:rsidRPr="00A54CAD">
              <w:rPr>
                <w:rFonts w:cs="Times New Roman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             к Правилам возмещения вреда, причиняемого транспортными средствами, осуществляющими перевозки тяжеловесных грузов, утверждённым постановлением Правительства Российской Федерации от 16 ноября 2009 г.             № 934 «О возмещении вреда,</w:t>
            </w:r>
            <w:proofErr w:type="gramEnd"/>
          </w:p>
          <w:p w:rsidR="005B0ACC" w:rsidRPr="00A54CAD" w:rsidRDefault="005B0ACC" w:rsidP="005B0ACC">
            <w:pPr>
              <w:pStyle w:val="a3"/>
              <w:widowControl w:val="0"/>
              <w:autoSpaceDE w:val="0"/>
              <w:autoSpaceDN w:val="0"/>
              <w:adjustRightInd w:val="0"/>
              <w:ind w:left="-124"/>
              <w:jc w:val="right"/>
              <w:rPr>
                <w:rFonts w:cs="Times New Roman"/>
                <w:szCs w:val="28"/>
              </w:rPr>
            </w:pPr>
            <w:proofErr w:type="gramStart"/>
            <w:r w:rsidRPr="00A54CAD">
              <w:rPr>
                <w:rFonts w:cs="Times New Roman"/>
                <w:szCs w:val="28"/>
              </w:rPr>
              <w:t>причиняемого</w:t>
            </w:r>
            <w:proofErr w:type="gramEnd"/>
            <w:r w:rsidRPr="00A54CAD">
              <w:rPr>
                <w:rFonts w:cs="Times New Roman"/>
                <w:szCs w:val="28"/>
              </w:rPr>
              <w:t xml:space="preserve"> транспортными средствами, осуществляющими</w:t>
            </w:r>
          </w:p>
          <w:p w:rsidR="005B0ACC" w:rsidRPr="00A54CAD" w:rsidRDefault="005B0ACC" w:rsidP="005B0ACC">
            <w:pPr>
              <w:pStyle w:val="a3"/>
              <w:widowControl w:val="0"/>
              <w:autoSpaceDE w:val="0"/>
              <w:autoSpaceDN w:val="0"/>
              <w:adjustRightInd w:val="0"/>
              <w:ind w:left="-124"/>
              <w:jc w:val="right"/>
              <w:rPr>
                <w:rFonts w:cs="Times New Roman"/>
                <w:szCs w:val="28"/>
              </w:rPr>
            </w:pPr>
            <w:r w:rsidRPr="00A54CAD">
              <w:rPr>
                <w:rFonts w:cs="Times New Roman"/>
                <w:szCs w:val="28"/>
              </w:rPr>
              <w:t>перевозки тяжеловесных грузов               по автомобильным дорогам</w:t>
            </w:r>
          </w:p>
          <w:p w:rsidR="001F27A0" w:rsidRPr="00A54CAD" w:rsidRDefault="005B0ACC" w:rsidP="005B0ACC">
            <w:pPr>
              <w:pStyle w:val="a3"/>
              <w:widowControl w:val="0"/>
              <w:autoSpaceDE w:val="0"/>
              <w:autoSpaceDN w:val="0"/>
              <w:adjustRightInd w:val="0"/>
              <w:ind w:left="-124"/>
              <w:jc w:val="right"/>
              <w:rPr>
                <w:rFonts w:cs="Times New Roman"/>
                <w:szCs w:val="28"/>
              </w:rPr>
            </w:pPr>
            <w:r w:rsidRPr="00A54CAD">
              <w:rPr>
                <w:rFonts w:cs="Times New Roman"/>
                <w:szCs w:val="28"/>
              </w:rPr>
              <w:t>Российской Федерации»</w:t>
            </w:r>
          </w:p>
        </w:tc>
      </w:tr>
    </w:tbl>
    <w:p w:rsidR="001F27A0" w:rsidRDefault="001F27A0" w:rsidP="00D701A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76C92" w:rsidRDefault="00F76C92" w:rsidP="00F76C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F76C92" w:rsidRDefault="00F76C92" w:rsidP="00BA3A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F76C92">
        <w:lastRenderedPageBreak/>
        <w:t xml:space="preserve">Размер </w:t>
      </w:r>
      <w:r w:rsidR="008843A8">
        <w:t xml:space="preserve">платы в счёт возмещения </w:t>
      </w:r>
      <w:r w:rsidRPr="00F76C92">
        <w:t>вреда, причиняемого транспортными средствами</w:t>
      </w:r>
      <w:r>
        <w:t xml:space="preserve"> автомобильным дорогам общего пользования регионального значения Свердловской области</w:t>
      </w:r>
      <w:r w:rsidRPr="00F76C92">
        <w:t>, при превышении значений допустимых осевых нагрузок на одну ось</w:t>
      </w:r>
      <w:r>
        <w:t xml:space="preserve"> рассчитывается по формуле, </w:t>
      </w:r>
      <w:r w:rsidR="00DC7580" w:rsidRPr="006119D3">
        <w:t>приведенной</w:t>
      </w:r>
      <w:r w:rsidR="008843A8" w:rsidRPr="006119D3">
        <w:t xml:space="preserve"> </w:t>
      </w:r>
      <w:r w:rsidRPr="006119D3">
        <w:t>в методике</w:t>
      </w:r>
      <w:r>
        <w:t xml:space="preserve"> расчета размера вреда, причиняемого транспортными средствами, осуществляющими перевозки тяжеловесных грузов, </w:t>
      </w:r>
      <w:r w:rsidR="00BA3A79">
        <w:t xml:space="preserve">указанной в приложении к Правилам возмещения вреда, причиняемого транспортными средствами, осуществляющими перевозки тяжеловесных грузов, </w:t>
      </w:r>
      <w:r>
        <w:t>утверждённ</w:t>
      </w:r>
      <w:r w:rsidR="00BA3A79">
        <w:t xml:space="preserve">ым </w:t>
      </w:r>
      <w:r>
        <w:t xml:space="preserve"> </w:t>
      </w:r>
      <w:r w:rsidR="00BA3A79" w:rsidRPr="00BA3A79">
        <w:t>постановлени</w:t>
      </w:r>
      <w:r w:rsidR="00BA3A79">
        <w:t>ем</w:t>
      </w:r>
      <w:r w:rsidR="00BA3A79" w:rsidRPr="00BA3A79">
        <w:t xml:space="preserve"> Правительства Российской</w:t>
      </w:r>
      <w:proofErr w:type="gramEnd"/>
      <w:r w:rsidR="00BA3A79" w:rsidRPr="00BA3A79">
        <w:t xml:space="preserve"> Федерации от 16 ноября 2009 г. </w:t>
      </w:r>
      <w:r w:rsidR="00BA3A79">
        <w:t>№ 934 «</w:t>
      </w:r>
      <w:r w:rsidR="00BA3A79" w:rsidRPr="00BA3A79"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BA3A79">
        <w:t>».</w:t>
      </w:r>
    </w:p>
    <w:p w:rsidR="00F76C92" w:rsidRDefault="00BA3A79" w:rsidP="00D70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6119D3">
        <w:t xml:space="preserve">При введении временных ограничений движения транспортных средств </w:t>
      </w:r>
      <w:r w:rsidR="00E07AFA" w:rsidRPr="006119D3">
        <w:t xml:space="preserve">    </w:t>
      </w:r>
      <w:r w:rsidRPr="006119D3">
        <w:t xml:space="preserve">по автомобильным дорогам общего пользования регионального значения Свердловской области </w:t>
      </w:r>
      <w:r w:rsidR="00D701AD" w:rsidRPr="006119D3">
        <w:t>при</w:t>
      </w:r>
      <w:r w:rsidRPr="006119D3">
        <w:t xml:space="preserve"> расчёте размера вреда, причиняемого транспортными средствами автомобильным дорогам общего пользования регионального значения Свердловской области, при превышении значений допустимых осевых нагрузок на одну ось коэффициент, учитывающий природно-климатические условия, принимается равным единице при неблагоприятных природно-климатических условиях, в остально</w:t>
      </w:r>
      <w:r w:rsidR="00D701AD" w:rsidRPr="006119D3">
        <w:t>е время принимается равным 0,35.».</w:t>
      </w:r>
      <w:proofErr w:type="gramEnd"/>
    </w:p>
    <w:p w:rsidR="003A53BA" w:rsidRDefault="003A53BA" w:rsidP="00D37B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>
        <w:t xml:space="preserve">Настоящее постановление вступает в силу с </w:t>
      </w:r>
      <w:r w:rsidR="007C107C">
        <w:t>0</w:t>
      </w:r>
      <w:r>
        <w:t>1 января 2015 г</w:t>
      </w:r>
      <w:r w:rsidR="007C107C">
        <w:t>ода</w:t>
      </w:r>
      <w:r>
        <w:t>.</w:t>
      </w:r>
    </w:p>
    <w:p w:rsidR="00D37BDF" w:rsidRDefault="00D37BDF" w:rsidP="00D37B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E07AFA">
        <w:t xml:space="preserve">                 </w:t>
      </w:r>
      <w:r>
        <w:t xml:space="preserve">на Заместителя Председатель Правительства Свердловской области </w:t>
      </w:r>
      <w:r w:rsidR="00464895">
        <w:t xml:space="preserve">В.А. </w:t>
      </w:r>
      <w:proofErr w:type="spellStart"/>
      <w:r w:rsidR="00464895">
        <w:t>Грипаса</w:t>
      </w:r>
      <w:proofErr w:type="spellEnd"/>
      <w:r>
        <w:t>.</w:t>
      </w:r>
    </w:p>
    <w:p w:rsidR="00C872AE" w:rsidRPr="00D37BDF" w:rsidRDefault="00D37BDF" w:rsidP="00D37B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Times New Roman"/>
          <w:szCs w:val="28"/>
        </w:rPr>
      </w:pPr>
      <w:r>
        <w:t>Настоящее постановление опубликовать в «Областной газете».</w:t>
      </w:r>
    </w:p>
    <w:p w:rsidR="00D37BDF" w:rsidRDefault="00D37BDF" w:rsidP="00D3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37BDF" w:rsidRDefault="00D37BDF" w:rsidP="00D3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C2FE4" w:rsidRDefault="00EC2FE4" w:rsidP="00D3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54CAD" w:rsidRDefault="00A54CAD" w:rsidP="00D3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37BDF" w:rsidRDefault="00D37BDF" w:rsidP="00D3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Правительства </w:t>
      </w:r>
    </w:p>
    <w:p w:rsidR="00D37BDF" w:rsidRPr="00D37BDF" w:rsidRDefault="00D37BDF" w:rsidP="00D3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Свердловской области                                                                                Д.В. </w:t>
      </w:r>
      <w:proofErr w:type="spellStart"/>
      <w:r>
        <w:rPr>
          <w:rFonts w:cs="Times New Roman"/>
          <w:szCs w:val="28"/>
        </w:rPr>
        <w:t>Паслер</w:t>
      </w:r>
      <w:proofErr w:type="spellEnd"/>
      <w:r>
        <w:rPr>
          <w:rFonts w:cs="Times New Roman"/>
          <w:szCs w:val="28"/>
        </w:rPr>
        <w:t xml:space="preserve"> </w:t>
      </w:r>
    </w:p>
    <w:sectPr w:rsidR="00D37BDF" w:rsidRPr="00D37BDF" w:rsidSect="00A871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AB" w:rsidRDefault="00530BAB" w:rsidP="00A87146">
      <w:pPr>
        <w:spacing w:after="0" w:line="240" w:lineRule="auto"/>
      </w:pPr>
      <w:r>
        <w:separator/>
      </w:r>
    </w:p>
  </w:endnote>
  <w:endnote w:type="continuationSeparator" w:id="0">
    <w:p w:rsidR="00530BAB" w:rsidRDefault="00530BAB" w:rsidP="00A8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AB" w:rsidRDefault="00530BAB" w:rsidP="00A87146">
      <w:pPr>
        <w:spacing w:after="0" w:line="240" w:lineRule="auto"/>
      </w:pPr>
      <w:r>
        <w:separator/>
      </w:r>
    </w:p>
  </w:footnote>
  <w:footnote w:type="continuationSeparator" w:id="0">
    <w:p w:rsidR="00530BAB" w:rsidRDefault="00530BAB" w:rsidP="00A8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735"/>
    <w:multiLevelType w:val="hybridMultilevel"/>
    <w:tmpl w:val="CD76B316"/>
    <w:lvl w:ilvl="0" w:tplc="586A4D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4AF9"/>
    <w:multiLevelType w:val="hybridMultilevel"/>
    <w:tmpl w:val="0CE4F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D85"/>
    <w:multiLevelType w:val="hybridMultilevel"/>
    <w:tmpl w:val="F2765FFA"/>
    <w:lvl w:ilvl="0" w:tplc="E0CA228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EA"/>
    <w:rsid w:val="00132014"/>
    <w:rsid w:val="00141E08"/>
    <w:rsid w:val="001536CD"/>
    <w:rsid w:val="001C0C4E"/>
    <w:rsid w:val="001F27A0"/>
    <w:rsid w:val="003A53BA"/>
    <w:rsid w:val="00436672"/>
    <w:rsid w:val="00464895"/>
    <w:rsid w:val="00497A5F"/>
    <w:rsid w:val="004C1971"/>
    <w:rsid w:val="004F3217"/>
    <w:rsid w:val="00530BAB"/>
    <w:rsid w:val="005B0ACC"/>
    <w:rsid w:val="006119D3"/>
    <w:rsid w:val="006258B5"/>
    <w:rsid w:val="006632BA"/>
    <w:rsid w:val="00666E10"/>
    <w:rsid w:val="00671EEF"/>
    <w:rsid w:val="00676A72"/>
    <w:rsid w:val="006B4621"/>
    <w:rsid w:val="006F722F"/>
    <w:rsid w:val="00737CDC"/>
    <w:rsid w:val="007C107C"/>
    <w:rsid w:val="00825E1E"/>
    <w:rsid w:val="008618D6"/>
    <w:rsid w:val="00861BA9"/>
    <w:rsid w:val="00863093"/>
    <w:rsid w:val="00872DB8"/>
    <w:rsid w:val="008843A8"/>
    <w:rsid w:val="00983865"/>
    <w:rsid w:val="00A32891"/>
    <w:rsid w:val="00A519EA"/>
    <w:rsid w:val="00A54CAD"/>
    <w:rsid w:val="00A87146"/>
    <w:rsid w:val="00B0013E"/>
    <w:rsid w:val="00B11FFD"/>
    <w:rsid w:val="00B2084E"/>
    <w:rsid w:val="00B42F3D"/>
    <w:rsid w:val="00B80FF7"/>
    <w:rsid w:val="00BA3A79"/>
    <w:rsid w:val="00C872AE"/>
    <w:rsid w:val="00CB4550"/>
    <w:rsid w:val="00CE3C1D"/>
    <w:rsid w:val="00D37BDF"/>
    <w:rsid w:val="00D44346"/>
    <w:rsid w:val="00D701AD"/>
    <w:rsid w:val="00D71F02"/>
    <w:rsid w:val="00DB515D"/>
    <w:rsid w:val="00DC7580"/>
    <w:rsid w:val="00E07AFA"/>
    <w:rsid w:val="00E67261"/>
    <w:rsid w:val="00E84F89"/>
    <w:rsid w:val="00EC2FE4"/>
    <w:rsid w:val="00ED1BB1"/>
    <w:rsid w:val="00F55DE0"/>
    <w:rsid w:val="00F64C6D"/>
    <w:rsid w:val="00F76C92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E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27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EA"/>
    <w:pPr>
      <w:ind w:left="720"/>
      <w:contextualSpacing/>
    </w:pPr>
  </w:style>
  <w:style w:type="paragraph" w:customStyle="1" w:styleId="ConsPlusCell">
    <w:name w:val="ConsPlusCell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C8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F27A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F27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14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146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0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E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27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EA"/>
    <w:pPr>
      <w:ind w:left="720"/>
      <w:contextualSpacing/>
    </w:pPr>
  </w:style>
  <w:style w:type="paragraph" w:customStyle="1" w:styleId="ConsPlusCell">
    <w:name w:val="ConsPlusCell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C8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F27A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F27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14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146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0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D756-E0FF-4AB6-A1B5-143A0BBA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 Юрий Александрович</dc:creator>
  <cp:lastModifiedBy>Чуйков Юрий Александрович</cp:lastModifiedBy>
  <cp:revision>2</cp:revision>
  <cp:lastPrinted>2014-10-23T11:04:00Z</cp:lastPrinted>
  <dcterms:created xsi:type="dcterms:W3CDTF">2014-10-23T11:24:00Z</dcterms:created>
  <dcterms:modified xsi:type="dcterms:W3CDTF">2014-10-23T11:24:00Z</dcterms:modified>
</cp:coreProperties>
</file>